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56" w:type="dxa"/>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
        <w:gridCol w:w="658"/>
        <w:gridCol w:w="98"/>
        <w:gridCol w:w="136"/>
        <w:gridCol w:w="50"/>
        <w:gridCol w:w="48"/>
        <w:gridCol w:w="424"/>
        <w:gridCol w:w="221"/>
        <w:gridCol w:w="13"/>
        <w:gridCol w:w="52"/>
        <w:gridCol w:w="925"/>
        <w:gridCol w:w="314"/>
        <w:gridCol w:w="827"/>
        <w:gridCol w:w="474"/>
        <w:gridCol w:w="16"/>
        <w:gridCol w:w="551"/>
        <w:gridCol w:w="474"/>
        <w:gridCol w:w="16"/>
        <w:gridCol w:w="1050"/>
        <w:gridCol w:w="610"/>
        <w:gridCol w:w="474"/>
        <w:gridCol w:w="16"/>
        <w:gridCol w:w="1055"/>
        <w:gridCol w:w="2515"/>
        <w:gridCol w:w="474"/>
        <w:gridCol w:w="16"/>
        <w:gridCol w:w="1035"/>
        <w:gridCol w:w="1288"/>
        <w:gridCol w:w="474"/>
        <w:gridCol w:w="16"/>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159" w:hRule="atLeast"/>
        </w:trPr>
        <w:tc>
          <w:tcPr>
            <w:tcW w:w="14416" w:type="dxa"/>
            <w:gridSpan w:val="26"/>
            <w:tcBorders>
              <w:top w:val="nil"/>
              <w:left w:val="nil"/>
              <w:right w:val="nil"/>
            </w:tcBorders>
            <w:shd w:val="clear" w:color="auto" w:fill="auto"/>
            <w:noWrap/>
            <w:vAlign w:val="center"/>
          </w:tcPr>
          <w:p>
            <w:pPr>
              <w:widowControl/>
              <w:jc w:val="center"/>
              <w:rPr>
                <w:rFonts w:ascii="黑体" w:hAnsi="宋体" w:eastAsia="黑体" w:cs="宋体"/>
                <w:kern w:val="0"/>
                <w:sz w:val="44"/>
                <w:szCs w:val="44"/>
              </w:rPr>
            </w:pPr>
            <w:r>
              <w:rPr>
                <w:rFonts w:hint="eastAsia" w:ascii="黑体" w:hAnsi="宋体" w:eastAsia="黑体" w:cs="宋体"/>
                <w:kern w:val="0"/>
                <w:sz w:val="44"/>
                <w:szCs w:val="44"/>
              </w:rPr>
              <w:t>抚顺市人民政府落实辽宁省人民政府调整的行政职权事项目录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420" w:hRule="atLeast"/>
        </w:trPr>
        <w:tc>
          <w:tcPr>
            <w:tcW w:w="14416" w:type="dxa"/>
            <w:gridSpan w:val="26"/>
            <w:shd w:val="clear" w:color="auto" w:fill="auto"/>
            <w:noWrap/>
            <w:vAlign w:val="center"/>
          </w:tcPr>
          <w:p>
            <w:pPr>
              <w:widowControl/>
              <w:jc w:val="center"/>
              <w:rPr>
                <w:rFonts w:hint="eastAsia" w:ascii="方正黑体简体" w:hAnsi="Courier New" w:eastAsia="方正黑体简体" w:cs="Courier New"/>
                <w:kern w:val="0"/>
                <w:szCs w:val="32"/>
              </w:rPr>
            </w:pPr>
            <w:r>
              <w:rPr>
                <w:rFonts w:hint="eastAsia" w:ascii="方正黑体简体" w:hAnsi="Courier New" w:eastAsia="方正黑体简体" w:cs="Courier New"/>
                <w:kern w:val="0"/>
                <w:szCs w:val="32"/>
              </w:rPr>
              <w:t>承接省政府下放的行政职权事项58项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293" w:hRule="atLeast"/>
        </w:trPr>
        <w:tc>
          <w:tcPr>
            <w:tcW w:w="758" w:type="dxa"/>
            <w:gridSpan w:val="5"/>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序号</w:t>
            </w:r>
          </w:p>
        </w:tc>
        <w:tc>
          <w:tcPr>
            <w:tcW w:w="1239" w:type="dxa"/>
            <w:gridSpan w:val="2"/>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职权类型</w:t>
            </w:r>
          </w:p>
        </w:tc>
        <w:tc>
          <w:tcPr>
            <w:tcW w:w="2358" w:type="dxa"/>
            <w:gridSpan w:val="6"/>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职权名称</w:t>
            </w:r>
          </w:p>
        </w:tc>
        <w:tc>
          <w:tcPr>
            <w:tcW w:w="1050" w:type="dxa"/>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承接机关</w:t>
            </w:r>
          </w:p>
        </w:tc>
        <w:tc>
          <w:tcPr>
            <w:tcW w:w="2155"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调整方式</w:t>
            </w:r>
          </w:p>
        </w:tc>
        <w:tc>
          <w:tcPr>
            <w:tcW w:w="4040" w:type="dxa"/>
            <w:gridSpan w:val="4"/>
            <w:shd w:val="clear" w:color="auto" w:fill="auto"/>
            <w:noWrap w:val="0"/>
            <w:vAlign w:val="center"/>
          </w:tcPr>
          <w:p>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相关免责情形</w:t>
            </w:r>
          </w:p>
        </w:tc>
        <w:tc>
          <w:tcPr>
            <w:tcW w:w="2816" w:type="dxa"/>
            <w:gridSpan w:val="4"/>
            <w:shd w:val="clear" w:color="auto" w:fill="auto"/>
            <w:noWrap w:val="0"/>
            <w:vAlign w:val="center"/>
          </w:tcPr>
          <w:p>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相关追责情形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工业技术改造项目核准</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市工业和信息化局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铬化合物生产建设项目审批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市工业和信息化局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939"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实施高等专科教育、中等学历教育、非学历高等教育、自学考试助学、文化补习、学前教育等的中外（含内地与港澳台）合作办学机构设立、变更和终止审批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除高等专科教育、非学历高等教育外，其他类型的中外（港澳台）合作办学机构的设立、分立、合并、变更和终止审批委托下放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实施高等专科教育、非学历高等教育和高级中等教育、自学考试助学、文化补习、学前教育的中外（含内地与港澳台）合作办学项目审批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除高等专科教育、非学历高等教育外，其他类型的中外（港澳台）合作办学项目批准委托下放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3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行政确认</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高校教师、教育管理研究人员、实验技术人员，中职教师、中小学教师专业技术职务任职资格评审</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行政确认</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普通话水平测试等级证书的颁发</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委托机关工作人员不承担因受委托机关及其工作人员违法违规实施行政确认产生的相关责任。委托机关截留委托事项办事环节、增设新的办事环节的，受委托机关不承担相关责任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受委托机关及其工作人员违法违规实施行政确认的，依据相关法律法规，依法追究该机关及其工作人员责任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举行大型宗教活动审批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市委统战部</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内地居民赴澳门3个月多次商务签注审批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市公安局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设立技工学校（技师学院）审批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市人力资源社会保障局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供水单位相关人员培训考核</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市住房城乡建设局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燃气经营企业“三类”人员专业培训考核</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市住房城乡建设局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权限内肥料登记</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除有机肥料、床土调酸剂外，其他项目委下放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食用菌菌种生产经营许可证核发（母种、原种）</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蚕种生产经营许可证核发</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农业植物及其产品调运检疫及植物检疫证书签发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粮食收购资格认定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出售、收购国家二级保护野生植物审批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收购珍贵树木种子和限制收购林木种子批准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使用低于国家或地方种用标准的林木种子审批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成品油零售经营资格审批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市商务局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香港特别行政区、澳门特别行政区的投资者在内地投资设立合资、合作、独资经营的演出经纪机构的审批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台湾地区的投资者在内地投资设立合资、合作经营的演出经纪机构的审批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艺术品进出口经营活动审批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境外组织或者个人在中华人民共和国境内进行非物质文化遗产调查的审批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护士执业注册 （省直医疗机构）</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母婴保健技术服务机构执业许可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母婴保健服务人员资格认定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医疗机构设置审批（含港澳台，外商独资除外）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医疗机构执业登记（人体器官移植除外）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一般血站设置分支机构和储血点的审批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委托机关工作人员不承担因受委托机关及其工作人员违法违规实施行政审批产生的相关责任。委托机关截留委托事项审批环节、增设新的审批环节的，受委托机关不承担相关责任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受委托机关及其工作人员违法违规实施行政审批的，依据相关法律法规，依法追究该机关及其工作人员责任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旅行社经营出境旅游业务资格审核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98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企业设立、变更、注销登记</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所有自然人投资设立的公司登记下放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原审批机关工作人员不承担下放事项实施行政许可产生的相关责任。原审批机关截留下放事项审批环节、增设新的审批流程的，下放事项承接机关不承担因审批产生的相关责任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下放事项承接机关及其许可工作人员承担因许可产生的相关责任。原审批机关截留下放事项审批环节、增设新的审批流程的，原审批机关及相关工作人员承担因审批产生的所有责任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蛋白同化制剂、肽类激素进出口审批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蛋白同化制剂、肽类激素进口审批委托下放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食品（含保健食品）生产许可</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食品（含保健食品）生产许可中的保健食品、婴幼儿配方食品、特殊医学用途食品许可委托下放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执业药师注册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委托设区市食品药品监督管理部门实施</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出具医务人员为了医疗需要携带少量麻醉药品和精神药品出入境证明</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委托机关工作人员不承担因受委托机关及其工作人员违法违规出具证明产生的相关责任。委托机关截留委托事项办事环节、增设新的办事环节的，受委托机关不承担相关责任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受委托机关及其工作人员违法违规出具证明的，依据相关法律法规，依法追究该机关及其工作人员责任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保健食品备案</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委托机关工作人员不承担因受委托机关及其工作人员违法违规实施备案产生的相关责任。委托机关截留备案环节、增设新的备案环节的，受委托机关不承担相关责任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受委托机关及其工作人员违法违规实施备案的，依据相关法律法规，依法追究该机关及其工作人员责任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音像、电子出版物复制单位设立、变更审批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音像制作单位的设立、变更审批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电子出版物制作单位设立、变更审批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设立中外合资、合作印刷企业和外商独资包装装潢印刷企业审批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承印加工境外包装装潢和其他印刷品备案核准</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设立、变更出版物批发企业或申请、变更从事出版物批发业务审批（含电子出版物）</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电影发行单位（非跨省）设立、变更业务范围或者兼并、合并、分立审批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特种作业操作证核发</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市应急局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应建防空地下室的民用建筑项目报建审批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市住房和城乡建设局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将省负责的“缴纳防空地下室易地建设费审批”委托市、县（市、区）人民防空主管部门实施</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行政征收</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防空地下室易地建设费的征收</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市住房和城乡建设局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委托机关工作人员不承担因受委托机关及其工作人员违法违规实施行政征收产生的相关责任。委托机关截留委托办事环节、增设新的办事环节的，受委托机关不承担相关责任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受委托机关及其工作人员违法违规实施行政征收的，依据相关法律法规，依法追究该机关及其工作人员责任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在草原上开展经营性旅游活动审批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下放设区市草原行政主管部门</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进口兽药通关单的核发</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下放设区市畜牧兽医主管部门</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草种生产许可证核发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草种经营许可证核发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从事饲料、饲料添加剂生产的企业审批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除饲料添加剂外，其他项目委托下放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培育新的畜禽品种、配套系进行中间试验的批准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跨省引进乳用、种用动物及其精液、胚胎、种蛋审批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临时占用草原、在草原上修建直接为草原保护和畜牧业生产服务的工程设施审批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甘草和麻黄草采集证核发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239"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在地方媒体发布兽药广告的审批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239" w:type="dxa"/>
            <w:gridSpan w:val="2"/>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行政征收</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对省草原行政主管部门审核批准征用、使用或临时占用草原征收草原植被恢复费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委托机关工作人员不承担因受委托机关及其工作人员违法违规实施行政征收产生的相关责任。委托机关截留委托办事环节、增设新的办事环节的，受委托机关不承担相关责任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受委托机关及其工作人员违法违规实施行政征收的，依据相关法律法规，依法追究该机关及其工作人员责任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1"/>
          <w:wBefore w:w="1088" w:type="dxa"/>
          <w:wAfter w:w="1038" w:type="dxa"/>
          <w:trHeight w:val="809" w:hRule="atLeast"/>
        </w:trPr>
        <w:tc>
          <w:tcPr>
            <w:tcW w:w="13330" w:type="dxa"/>
            <w:gridSpan w:val="24"/>
            <w:shd w:val="clear" w:color="auto" w:fill="auto"/>
            <w:noWrap/>
            <w:vAlign w:val="center"/>
          </w:tcPr>
          <w:p>
            <w:pPr>
              <w:widowControl/>
              <w:jc w:val="center"/>
              <w:rPr>
                <w:rFonts w:hint="eastAsia" w:ascii="方正黑体简体" w:hAnsi="宋体" w:eastAsia="方正黑体简体" w:cs="宋体"/>
                <w:kern w:val="0"/>
                <w:szCs w:val="32"/>
              </w:rPr>
            </w:pPr>
            <w:r>
              <w:rPr>
                <w:rFonts w:hint="eastAsia" w:ascii="方正黑体简体" w:hAnsi="宋体" w:eastAsia="方正黑体简体" w:cs="宋体"/>
                <w:kern w:val="0"/>
                <w:szCs w:val="32"/>
              </w:rPr>
              <w:t>以市县属地化管理为主28项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480" w:hRule="atLeast"/>
        </w:trPr>
        <w:tc>
          <w:tcPr>
            <w:tcW w:w="658" w:type="dxa"/>
            <w:gridSpan w:val="3"/>
            <w:shd w:val="clear" w:color="auto" w:fill="auto"/>
            <w:noWrap/>
            <w:vAlign w:val="center"/>
          </w:tcPr>
          <w:p>
            <w:pPr>
              <w:widowControl/>
              <w:jc w:val="center"/>
              <w:rPr>
                <w:rFonts w:ascii="黑体" w:hAnsi="宋体" w:eastAsia="黑体" w:cs="宋体"/>
                <w:kern w:val="0"/>
                <w:sz w:val="20"/>
              </w:rPr>
            </w:pPr>
            <w:r>
              <w:rPr>
                <w:rFonts w:hint="eastAsia" w:ascii="黑体" w:hAnsi="宋体" w:eastAsia="黑体" w:cs="宋体"/>
                <w:kern w:val="0"/>
                <w:sz w:val="20"/>
              </w:rPr>
              <w:t>序号</w:t>
            </w:r>
          </w:p>
        </w:tc>
        <w:tc>
          <w:tcPr>
            <w:tcW w:w="977" w:type="dxa"/>
            <w:gridSpan w:val="2"/>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职权类型</w:t>
            </w:r>
          </w:p>
        </w:tc>
        <w:tc>
          <w:tcPr>
            <w:tcW w:w="1615" w:type="dxa"/>
            <w:gridSpan w:val="3"/>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职权名称</w:t>
            </w:r>
          </w:p>
        </w:tc>
        <w:tc>
          <w:tcPr>
            <w:tcW w:w="1041" w:type="dxa"/>
            <w:gridSpan w:val="3"/>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承接机关</w:t>
            </w:r>
          </w:p>
        </w:tc>
        <w:tc>
          <w:tcPr>
            <w:tcW w:w="2150"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调整方式</w:t>
            </w:r>
          </w:p>
        </w:tc>
        <w:tc>
          <w:tcPr>
            <w:tcW w:w="4060" w:type="dxa"/>
            <w:gridSpan w:val="4"/>
            <w:shd w:val="clear" w:color="auto" w:fill="auto"/>
            <w:noWrap w:val="0"/>
            <w:vAlign w:val="center"/>
          </w:tcPr>
          <w:p>
            <w:pPr>
              <w:widowControl/>
              <w:jc w:val="center"/>
              <w:rPr>
                <w:rFonts w:ascii="黑体" w:hAnsi="宋体" w:eastAsia="黑体" w:cs="宋体"/>
                <w:kern w:val="0"/>
                <w:sz w:val="20"/>
              </w:rPr>
            </w:pPr>
          </w:p>
        </w:tc>
        <w:tc>
          <w:tcPr>
            <w:tcW w:w="2813" w:type="dxa"/>
            <w:gridSpan w:val="4"/>
            <w:noWrap w:val="0"/>
            <w:vAlign w:val="top"/>
          </w:tcPr>
          <w:p>
            <w:pPr>
              <w:widowControl/>
              <w:jc w:val="center"/>
              <w:rPr>
                <w:rFonts w:hint="eastAsia" w:ascii="黑体" w:hAnsi="宋体" w:eastAsia="黑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对违反《中华人民共和国治安管理处罚法》行为的调解</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扣押财物处理</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没收保证金事项决定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对违反《行政区域界线管理条例》行为的处罚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市民政局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对养老机构未依法履行变更、终止手续的等行为进行处罚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市民政局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5"/>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977"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1615" w:type="dxa"/>
            <w:gridSpan w:val="3"/>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对交通运输生产单位安全生产违法行为的处罚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对交通工程从业单位和人员质量违法行为的处罚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对交通工程从业单位和人员其他质量违法行为的处罚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对交通工程安全管理行为的处罚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对影响航道正常通航等有关行为的处罚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对港口建设和经营违法行为的处罚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对违反港口建设管理管理规定行为的处罚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公路、水路招标投标活动违法行为处罚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2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对存在重大事故隐患的生产经营单位作出停产停业、停止施工、停止使用相关设施或者设备的措施</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660"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对违反《企业名称登记管理规定》行为的处罚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对违反《中华人民共和国认证认可条例》行为的处罚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279"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对有根据认为不符合保障人体健康和人身、财产安全的国家标准、行业标准的产品或者其他严重质量问题的产品、以及直接用于生产、销售该项产品的原辅材料、包装物、生产工具的查封、扣押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2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对不符合法定要求的产品，违法使用的原料、辅料、添加剂、农业投入品以及用于违法生产的工具、设备等的查封、扣押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59"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对有证据表明属于违反《中华人民共和国工业产品生产许可证管理条例》生产、销售或者在经营活动中使用的列入目录产品的查封、扣押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对有证据表明不符合安全技术规范要求或者存在严重事故隐患等特种设备的查封、扣押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对制造、销售未经型式批准或样机试验合格的计量器具新产品的封存</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对进口不符合强制性标准产品的封存</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对违反《网络出版服务管理规定》行为的处罚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715"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对复制单位未验证复制委托书及其他法定文书或擅自复制他人只读类光盘和磁带磁盘的行为的处罚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438"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对违反测绘成果成果汇交和保管制度行为的处罚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15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对擅自建立相对独立的平面坐标系统等行为的处罚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133"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对违反地图审核相关规定行为的处罚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718"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977" w:type="dxa"/>
            <w:gridSpan w:val="6"/>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621" w:type="dxa"/>
            <w:gridSpan w:val="7"/>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对实施基础测绘项目，不使用全国统一的测绘基准和测绘系统等行为的处罚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236F1"/>
    <w:rsid w:val="3CE2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2019-08-01T01:52:00Z</dcterms:created>
  <dc:creator>Administrator</dc:creator>
  <cp:lastModifiedBy>Administrator</cp:lastModifiedBy>
  <dcterms:modified xsi:type="dcterms:W3CDTF">2019-08-01T01:53:36Z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