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bookmarkStart w:id="0" w:name="_GoBack"/>
      <w:bookmarkEnd w:id="0"/>
      <w:r>
        <w:rPr>
          <w:rFonts w:hint="eastAsia"/>
          <w:b/>
          <w:sz w:val="44"/>
          <w:szCs w:val="44"/>
        </w:rPr>
        <w:t>市科技局推广随机抽查</w:t>
      </w:r>
    </w:p>
    <w:p>
      <w:pPr>
        <w:jc w:val="center"/>
        <w:rPr>
          <w:b/>
          <w:sz w:val="44"/>
          <w:szCs w:val="44"/>
        </w:rPr>
      </w:pPr>
      <w:r>
        <w:rPr>
          <w:rFonts w:hint="eastAsia"/>
          <w:b/>
          <w:sz w:val="44"/>
          <w:szCs w:val="44"/>
        </w:rPr>
        <w:t>规范事中事后监管实施方案</w:t>
      </w:r>
    </w:p>
    <w:p>
      <w:pPr>
        <w:jc w:val="center"/>
        <w:rPr>
          <w:b/>
          <w:sz w:val="36"/>
          <w:szCs w:val="36"/>
        </w:rPr>
      </w:pPr>
    </w:p>
    <w:p>
      <w:pPr>
        <w:ind w:firstLine="640" w:firstLineChars="200"/>
        <w:jc w:val="left"/>
        <w:rPr>
          <w:rFonts w:ascii="宋体" w:hAnsi="宋体" w:cs="仿宋_GB2312"/>
          <w:bCs/>
          <w:sz w:val="32"/>
          <w:szCs w:val="32"/>
        </w:rPr>
      </w:pPr>
      <w:r>
        <w:rPr>
          <w:rFonts w:hint="eastAsia" w:ascii="宋体" w:hAnsi="宋体" w:cs="仿宋_GB2312"/>
          <w:bCs/>
          <w:sz w:val="32"/>
          <w:szCs w:val="32"/>
        </w:rPr>
        <w:t>为深入推进制度改革，根据《辽宁省人民政府办公厅关于推广随机抽查规范事中事后监管的实施意见》（辽政办发〔2015〕95号）精神，结合我局工作实际，现就加强知识产权执法事中事后监管工作，特制定如下方案。</w:t>
      </w:r>
    </w:p>
    <w:p>
      <w:pPr>
        <w:ind w:firstLine="640" w:firstLineChars="200"/>
        <w:rPr>
          <w:rFonts w:ascii="宋体" w:hAnsi="宋体"/>
          <w:sz w:val="32"/>
          <w:szCs w:val="32"/>
        </w:rPr>
      </w:pPr>
      <w:r>
        <w:rPr>
          <w:rFonts w:hint="eastAsia" w:ascii="宋体" w:hAnsi="宋体"/>
          <w:sz w:val="32"/>
          <w:szCs w:val="32"/>
        </w:rPr>
        <w:t>一、基本原则</w:t>
      </w:r>
    </w:p>
    <w:p>
      <w:pPr>
        <w:ind w:firstLine="640" w:firstLineChars="200"/>
        <w:rPr>
          <w:rFonts w:ascii="宋体" w:hAnsi="宋体" w:cs="仿宋_GB2312"/>
          <w:sz w:val="32"/>
          <w:szCs w:val="32"/>
        </w:rPr>
      </w:pPr>
      <w:r>
        <w:rPr>
          <w:rFonts w:hint="eastAsia" w:ascii="宋体" w:hAnsi="宋体" w:cs="仿宋_GB2312"/>
          <w:sz w:val="32"/>
          <w:szCs w:val="32"/>
        </w:rPr>
        <w:t>以党的十八大及十八届二中、三中、四中全会精神及</w:t>
      </w:r>
      <w:r>
        <w:rPr>
          <w:rFonts w:hint="eastAsia" w:ascii="宋体" w:hAnsi="宋体" w:cs="仿宋_GB2312"/>
          <w:sz w:val="32"/>
          <w:szCs w:val="32"/>
          <w:lang w:eastAsia="zh-CN"/>
        </w:rPr>
        <w:t>习近平总书记</w:t>
      </w:r>
      <w:r>
        <w:rPr>
          <w:rFonts w:hint="eastAsia" w:ascii="宋体" w:hAnsi="宋体" w:cs="仿宋_GB2312"/>
          <w:sz w:val="32"/>
          <w:szCs w:val="32"/>
        </w:rPr>
        <w:t>“四个着力”相关要求为指导，深入贯彻落实</w:t>
      </w:r>
      <w:r>
        <w:rPr>
          <w:rFonts w:hint="eastAsia" w:ascii="宋体" w:hAnsi="宋体" w:cs="仿宋_GB2312"/>
          <w:sz w:val="32"/>
          <w:szCs w:val="32"/>
          <w:lang w:eastAsia="zh-CN"/>
        </w:rPr>
        <w:t>党</w:t>
      </w:r>
      <w:r>
        <w:rPr>
          <w:rFonts w:hint="eastAsia" w:ascii="宋体" w:hAnsi="宋体" w:cs="仿宋_GB2312"/>
          <w:sz w:val="32"/>
          <w:szCs w:val="32"/>
        </w:rPr>
        <w:t>中央、国务院，省委、省政府及市委、市政府的决策部署，大力推进行政及机关工作重心由事前审批向事中事后监管转变，政府职能向提供优质公共服务、维护社会公平正义转变，逐步建立网格化的监管机制，促进我市知识产权工作健康可持续发展。</w:t>
      </w:r>
    </w:p>
    <w:p>
      <w:pPr>
        <w:ind w:firstLine="640" w:firstLineChars="200"/>
        <w:rPr>
          <w:rFonts w:ascii="宋体" w:hAnsi="宋体"/>
          <w:sz w:val="32"/>
          <w:szCs w:val="32"/>
        </w:rPr>
      </w:pPr>
      <w:r>
        <w:rPr>
          <w:rFonts w:hint="eastAsia" w:ascii="宋体" w:hAnsi="宋体"/>
          <w:sz w:val="32"/>
          <w:szCs w:val="32"/>
        </w:rPr>
        <w:t>1.依法行政，强化监管。严格按照《中华人民共和国专利法》、《中华人民共和国专利法实施细则》、《专利行政执法办法》、《辽宁省专利条例》等相关法律法规的规定，运用法治思维和法治方式履行市场监管职责，强化事中事后监管。</w:t>
      </w:r>
    </w:p>
    <w:p>
      <w:pPr>
        <w:ind w:firstLine="640" w:firstLineChars="200"/>
        <w:rPr>
          <w:rFonts w:ascii="宋体" w:hAnsi="宋体"/>
          <w:sz w:val="32"/>
          <w:szCs w:val="32"/>
        </w:rPr>
      </w:pPr>
      <w:r>
        <w:rPr>
          <w:rFonts w:hint="eastAsia" w:ascii="宋体" w:hAnsi="宋体"/>
          <w:sz w:val="32"/>
          <w:szCs w:val="32"/>
        </w:rPr>
        <w:t>2.</w:t>
      </w:r>
      <w:r>
        <w:rPr>
          <w:rFonts w:hint="eastAsia" w:ascii="宋体" w:hAnsi="宋体" w:cs="仿宋_GB2312"/>
          <w:sz w:val="32"/>
          <w:szCs w:val="32"/>
        </w:rPr>
        <w:t>责任明晰，统筹协作。依照上述法律，科学界定并划分部门监管职责，</w:t>
      </w:r>
      <w:r>
        <w:rPr>
          <w:rFonts w:hint="eastAsia" w:ascii="宋体" w:hAnsi="宋体"/>
          <w:sz w:val="32"/>
          <w:szCs w:val="32"/>
        </w:rPr>
        <w:t>充分发挥打击侵权假冒工作统筹协调机制作用，加强同工商、公安等相关部门间协作配合，联合执法，加大执法力度。</w:t>
      </w:r>
    </w:p>
    <w:p>
      <w:pPr>
        <w:ind w:firstLine="640" w:firstLineChars="200"/>
        <w:rPr>
          <w:rFonts w:ascii="宋体" w:hAnsi="宋体"/>
          <w:sz w:val="32"/>
          <w:szCs w:val="32"/>
        </w:rPr>
      </w:pPr>
      <w:r>
        <w:rPr>
          <w:rFonts w:hint="eastAsia" w:ascii="宋体" w:hAnsi="宋体"/>
          <w:sz w:val="32"/>
          <w:szCs w:val="32"/>
        </w:rPr>
        <w:t>3.</w:t>
      </w:r>
      <w:r>
        <w:rPr>
          <w:rFonts w:hint="eastAsia" w:ascii="宋体" w:hAnsi="宋体" w:cs="仿宋_GB2312"/>
          <w:sz w:val="32"/>
          <w:szCs w:val="32"/>
        </w:rPr>
        <w:t>资源共享，区域联动。各部门间相互配合，实现案件信息资源共享，</w:t>
      </w:r>
      <w:r>
        <w:rPr>
          <w:rFonts w:hint="eastAsia" w:ascii="宋体" w:hAnsi="宋体"/>
          <w:sz w:val="32"/>
          <w:szCs w:val="32"/>
        </w:rPr>
        <w:t>加强跨市监管执法信息共享和没有管辖权的案件移交，强化对侵权假冒违法犯罪线索的追踪溯源和联合行动，铲除侵权假冒违法犯罪链条。</w:t>
      </w:r>
    </w:p>
    <w:p>
      <w:pPr>
        <w:ind w:firstLine="640" w:firstLineChars="200"/>
        <w:rPr>
          <w:rFonts w:ascii="宋体" w:hAnsi="宋体"/>
          <w:sz w:val="32"/>
          <w:szCs w:val="32"/>
        </w:rPr>
      </w:pPr>
      <w:r>
        <w:rPr>
          <w:rFonts w:hint="eastAsia" w:ascii="宋体" w:hAnsi="宋体"/>
          <w:sz w:val="32"/>
          <w:szCs w:val="32"/>
        </w:rPr>
        <w:t>4.</w:t>
      </w:r>
      <w:r>
        <w:rPr>
          <w:rFonts w:hint="eastAsia" w:ascii="宋体" w:hAnsi="宋体" w:cs="仿宋_GB2312"/>
          <w:sz w:val="32"/>
          <w:szCs w:val="32"/>
        </w:rPr>
        <w:t>创新手段，提升水平。积极创新监管方式和手段，利用互联网等信息技术手段，学习使用“专利通”软件，快速、有效的发现、收集、甄别侵权假冒违法犯罪行为。提升监管队伍的专业性，执法人员必须通过考试，获得执法证件后方能进行执法。每年组织培训学习相关法律文件，积极参加省局相关业务学习，以及执法证年检考试等，保证执法水平</w:t>
      </w:r>
      <w:r>
        <w:rPr>
          <w:rFonts w:hint="eastAsia" w:ascii="宋体" w:hAnsi="宋体"/>
          <w:sz w:val="32"/>
          <w:szCs w:val="32"/>
        </w:rPr>
        <w:t>。</w:t>
      </w:r>
    </w:p>
    <w:p>
      <w:pPr>
        <w:ind w:firstLine="640" w:firstLineChars="200"/>
        <w:rPr>
          <w:rFonts w:ascii="宋体" w:hAnsi="宋体"/>
          <w:sz w:val="32"/>
          <w:szCs w:val="32"/>
        </w:rPr>
      </w:pPr>
      <w:r>
        <w:rPr>
          <w:rFonts w:hint="eastAsia" w:ascii="宋体" w:hAnsi="宋体"/>
          <w:sz w:val="32"/>
          <w:szCs w:val="32"/>
        </w:rPr>
        <w:t>二、监管重点</w:t>
      </w:r>
    </w:p>
    <w:p>
      <w:pPr>
        <w:ind w:firstLine="640" w:firstLineChars="200"/>
        <w:rPr>
          <w:rFonts w:ascii="宋体" w:hAnsi="宋体"/>
          <w:sz w:val="32"/>
          <w:szCs w:val="32"/>
        </w:rPr>
      </w:pPr>
      <w:r>
        <w:rPr>
          <w:rFonts w:hint="eastAsia" w:ascii="宋体" w:hAnsi="宋体"/>
          <w:sz w:val="32"/>
          <w:szCs w:val="32"/>
        </w:rPr>
        <w:t>1.打击网络销售侵权商品。以食品药品、化妆品、医疗器械、电器等社会反映集中的商品为重点，组织开展集中整治行动，加强监管执法。加强网上专利纠纷案件办理和电子商务领域专利执法维权，推进网络商业方法领域发明专利保护。</w:t>
      </w:r>
    </w:p>
    <w:p>
      <w:pPr>
        <w:ind w:firstLine="640" w:firstLineChars="200"/>
        <w:rPr>
          <w:rFonts w:ascii="宋体" w:hAnsi="宋体"/>
          <w:sz w:val="32"/>
          <w:szCs w:val="32"/>
        </w:rPr>
      </w:pPr>
      <w:r>
        <w:rPr>
          <w:rFonts w:hint="eastAsia" w:ascii="宋体" w:hAnsi="宋体"/>
          <w:sz w:val="32"/>
          <w:szCs w:val="32"/>
        </w:rPr>
        <w:t>2.落实网络服务商责任。督促网络服务商落实“通知——删除”义务。对利用网络服务实施侵权假冒行为的网络信息，及时采取删除、屏蔽、断开链接等必要措施。</w:t>
      </w:r>
    </w:p>
    <w:p>
      <w:pPr>
        <w:ind w:firstLine="640" w:firstLineChars="200"/>
        <w:rPr>
          <w:rFonts w:ascii="宋体" w:hAnsi="宋体"/>
          <w:sz w:val="32"/>
          <w:szCs w:val="32"/>
        </w:rPr>
      </w:pPr>
      <w:r>
        <w:rPr>
          <w:rFonts w:hint="eastAsia" w:ascii="宋体" w:hAnsi="宋体"/>
          <w:sz w:val="32"/>
          <w:szCs w:val="32"/>
        </w:rPr>
        <w:t>通过规范事中事后监管，强化市场主体自律，规范执法行为，推动大众创业、万众创新，最大限度激发市场活力。</w:t>
      </w:r>
    </w:p>
    <w:p>
      <w:pPr>
        <w:ind w:firstLine="640" w:firstLineChars="200"/>
        <w:rPr>
          <w:rFonts w:hint="eastAsia" w:ascii="宋体" w:hAnsi="宋体"/>
          <w:sz w:val="32"/>
          <w:szCs w:val="32"/>
        </w:rPr>
      </w:pPr>
      <w:r>
        <w:rPr>
          <w:rFonts w:hint="eastAsia" w:ascii="宋体" w:hAnsi="宋体"/>
          <w:sz w:val="32"/>
          <w:szCs w:val="32"/>
        </w:rPr>
        <w:t>附：1、随机抽查事项清单</w:t>
      </w:r>
    </w:p>
    <w:p>
      <w:pPr>
        <w:ind w:firstLine="640" w:firstLineChars="200"/>
        <w:rPr>
          <w:rFonts w:hint="eastAsia" w:ascii="宋体" w:hAnsi="宋体"/>
          <w:sz w:val="32"/>
          <w:szCs w:val="32"/>
        </w:rPr>
      </w:pPr>
      <w:r>
        <w:rPr>
          <w:rFonts w:hint="eastAsia" w:ascii="宋体" w:hAnsi="宋体"/>
          <w:sz w:val="32"/>
          <w:szCs w:val="32"/>
        </w:rPr>
        <w:t xml:space="preserve">    2、执法人员名录库</w:t>
      </w:r>
    </w:p>
    <w:p>
      <w:pPr>
        <w:ind w:firstLine="640" w:firstLineChars="200"/>
        <w:rPr>
          <w:rFonts w:hint="eastAsia" w:ascii="宋体" w:hAnsi="宋体"/>
          <w:sz w:val="32"/>
          <w:szCs w:val="32"/>
        </w:rPr>
      </w:pPr>
      <w:r>
        <w:rPr>
          <w:rFonts w:hint="eastAsia" w:ascii="宋体" w:hAnsi="宋体"/>
          <w:sz w:val="32"/>
          <w:szCs w:val="32"/>
        </w:rPr>
        <w:t xml:space="preserve">    3、市场主体名录库</w:t>
      </w: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ascii="宋体" w:hAnsi="宋体"/>
          <w:sz w:val="32"/>
          <w:szCs w:val="32"/>
        </w:rPr>
      </w:pPr>
      <w:r>
        <w:rPr>
          <w:rFonts w:hint="eastAsia" w:ascii="宋体" w:hAnsi="宋体"/>
          <w:sz w:val="32"/>
          <w:szCs w:val="32"/>
        </w:rPr>
        <w:t xml:space="preserve">                      市科技局(知识产权局)</w:t>
      </w:r>
    </w:p>
    <w:p>
      <w:pPr>
        <w:ind w:firstLine="640" w:firstLineChars="200"/>
        <w:rPr>
          <w:rFonts w:ascii="宋体" w:hAnsi="宋体"/>
          <w:sz w:val="32"/>
          <w:szCs w:val="32"/>
        </w:rPr>
      </w:pPr>
      <w:r>
        <w:rPr>
          <w:rFonts w:hint="eastAsia" w:ascii="宋体" w:hAnsi="宋体"/>
          <w:sz w:val="32"/>
          <w:szCs w:val="32"/>
        </w:rPr>
        <w:t xml:space="preserve">                        </w:t>
      </w:r>
      <w:r>
        <w:rPr>
          <w:rFonts w:ascii="宋体" w:hAnsi="宋体"/>
          <w:sz w:val="32"/>
          <w:szCs w:val="32"/>
        </w:rPr>
        <w:t>20</w:t>
      </w:r>
      <w:r>
        <w:rPr>
          <w:rFonts w:hint="eastAsia" w:ascii="宋体" w:hAnsi="宋体"/>
          <w:sz w:val="32"/>
          <w:szCs w:val="32"/>
          <w:lang w:val="en-US" w:eastAsia="zh-CN"/>
        </w:rPr>
        <w:t>21</w:t>
      </w:r>
      <w:r>
        <w:rPr>
          <w:rFonts w:ascii="宋体" w:hAnsi="宋体"/>
          <w:sz w:val="32"/>
          <w:szCs w:val="32"/>
        </w:rPr>
        <w:t>年2月</w:t>
      </w:r>
      <w:r>
        <w:rPr>
          <w:rFonts w:hint="eastAsia" w:ascii="宋体" w:hAnsi="宋体"/>
          <w:sz w:val="32"/>
          <w:szCs w:val="32"/>
        </w:rPr>
        <w:t>25日</w:t>
      </w:r>
    </w:p>
    <w:p>
      <w:pPr>
        <w:widowControl/>
        <w:jc w:val="left"/>
        <w:rPr>
          <w:rFonts w:ascii="宋体" w:hAnsi="宋体"/>
          <w:sz w:val="32"/>
          <w:szCs w:val="32"/>
        </w:rPr>
      </w:pPr>
      <w:r>
        <w:rPr>
          <w:rFonts w:ascii="宋体" w:hAnsi="宋体"/>
          <w:sz w:val="32"/>
          <w:szCs w:val="32"/>
        </w:rPr>
        <w:br w:type="page"/>
      </w:r>
    </w:p>
    <w:p>
      <w:pPr>
        <w:rPr>
          <w:rFonts w:ascii="宋体" w:hAnsi="宋体"/>
          <w:sz w:val="32"/>
          <w:szCs w:val="32"/>
        </w:rPr>
      </w:pPr>
      <w:r>
        <w:rPr>
          <w:rFonts w:hint="eastAsia" w:ascii="宋体" w:hAnsi="宋体"/>
          <w:sz w:val="32"/>
          <w:szCs w:val="32"/>
        </w:rPr>
        <w:t>附1：</w:t>
      </w:r>
    </w:p>
    <w:p>
      <w:pPr>
        <w:rPr>
          <w:rFonts w:ascii="宋体" w:hAnsi="宋体"/>
          <w:sz w:val="32"/>
          <w:szCs w:val="32"/>
        </w:rPr>
      </w:pPr>
    </w:p>
    <w:p>
      <w:pPr>
        <w:jc w:val="center"/>
        <w:rPr>
          <w:rFonts w:ascii="宋体" w:hAnsi="宋体"/>
          <w:b/>
          <w:sz w:val="44"/>
          <w:szCs w:val="44"/>
        </w:rPr>
      </w:pPr>
      <w:r>
        <w:rPr>
          <w:rFonts w:hint="eastAsia" w:ascii="宋体" w:hAnsi="宋体"/>
          <w:b/>
          <w:sz w:val="44"/>
          <w:szCs w:val="44"/>
        </w:rPr>
        <w:t>随机抽查事项清单</w:t>
      </w:r>
    </w:p>
    <w:p>
      <w:pPr>
        <w:rPr>
          <w:rFonts w:ascii="宋体" w:hAnsi="宋体"/>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1</w:t>
            </w:r>
          </w:p>
        </w:tc>
        <w:tc>
          <w:tcPr>
            <w:tcW w:w="7563" w:type="dxa"/>
            <w:noWrap w:val="0"/>
            <w:vAlign w:val="top"/>
          </w:tcPr>
          <w:p>
            <w:pPr>
              <w:rPr>
                <w:rFonts w:ascii="宋体" w:hAnsi="宋体"/>
                <w:sz w:val="32"/>
                <w:szCs w:val="32"/>
              </w:rPr>
            </w:pPr>
            <w:r>
              <w:rPr>
                <w:rFonts w:hint="eastAsia" w:ascii="宋体" w:hAnsi="宋体"/>
                <w:sz w:val="32"/>
                <w:szCs w:val="32"/>
              </w:rPr>
              <w:t>是否是专利产品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2</w:t>
            </w:r>
          </w:p>
        </w:tc>
        <w:tc>
          <w:tcPr>
            <w:tcW w:w="7563" w:type="dxa"/>
            <w:noWrap w:val="0"/>
            <w:vAlign w:val="top"/>
          </w:tcPr>
          <w:p>
            <w:pPr>
              <w:rPr>
                <w:rFonts w:ascii="宋体" w:hAnsi="宋体"/>
                <w:sz w:val="32"/>
                <w:szCs w:val="32"/>
              </w:rPr>
            </w:pPr>
            <w:r>
              <w:rPr>
                <w:rFonts w:hint="eastAsia" w:ascii="宋体" w:hAnsi="宋体"/>
                <w:sz w:val="32"/>
                <w:szCs w:val="32"/>
              </w:rPr>
              <w:t>标注是否规范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3</w:t>
            </w:r>
          </w:p>
        </w:tc>
        <w:tc>
          <w:tcPr>
            <w:tcW w:w="7563" w:type="dxa"/>
            <w:noWrap w:val="0"/>
            <w:vAlign w:val="top"/>
          </w:tcPr>
          <w:p>
            <w:pPr>
              <w:rPr>
                <w:rFonts w:ascii="宋体" w:hAnsi="宋体"/>
                <w:sz w:val="32"/>
                <w:szCs w:val="32"/>
              </w:rPr>
            </w:pPr>
            <w:r>
              <w:rPr>
                <w:rFonts w:hint="eastAsia" w:ascii="宋体" w:hAnsi="宋体"/>
                <w:sz w:val="32"/>
                <w:szCs w:val="32"/>
              </w:rPr>
              <w:t>专利是否真实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4</w:t>
            </w:r>
          </w:p>
        </w:tc>
        <w:tc>
          <w:tcPr>
            <w:tcW w:w="7563" w:type="dxa"/>
            <w:noWrap w:val="0"/>
            <w:vAlign w:val="top"/>
          </w:tcPr>
          <w:p>
            <w:pPr>
              <w:rPr>
                <w:rFonts w:ascii="宋体" w:hAnsi="宋体"/>
                <w:sz w:val="32"/>
                <w:szCs w:val="32"/>
              </w:rPr>
            </w:pPr>
            <w:r>
              <w:rPr>
                <w:rFonts w:hint="eastAsia" w:ascii="宋体" w:hAnsi="宋体"/>
                <w:sz w:val="32"/>
                <w:szCs w:val="32"/>
              </w:rPr>
              <w:t>专利是否有效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p>
        </w:tc>
        <w:tc>
          <w:tcPr>
            <w:tcW w:w="7563" w:type="dxa"/>
            <w:noWrap w:val="0"/>
            <w:vAlign w:val="top"/>
          </w:tcPr>
          <w:p>
            <w:pPr>
              <w:rPr>
                <w:rFonts w:ascii="宋体" w:hAnsi="宋体"/>
                <w:sz w:val="32"/>
                <w:szCs w:val="32"/>
              </w:rPr>
            </w:pPr>
          </w:p>
        </w:tc>
      </w:tr>
    </w:tbl>
    <w:p>
      <w:pPr>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F799D"/>
    <w:rsid w:val="5197331F"/>
    <w:rsid w:val="7BFD2A0E"/>
    <w:rsid w:val="7FD019DF"/>
    <w:rsid w:val="E33BD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2021-03-19T00:41:00Z</dcterms:created>
  <dc:creator>lzx</dc:creator>
  <cp:lastModifiedBy>fushunshi</cp:lastModifiedBy>
  <dcterms:modified xsi:type="dcterms:W3CDTF">2023-08-17T09:09:09Z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